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FF" w:rsidRDefault="00D078FF" w:rsidP="00D078FF">
      <w:pPr>
        <w:rPr>
          <w:lang w:val="uk-UA"/>
        </w:rPr>
      </w:pPr>
    </w:p>
    <w:tbl>
      <w:tblPr>
        <w:tblpPr w:leftFromText="180" w:rightFromText="180" w:vertAnchor="text" w:horzAnchor="margin" w:tblpX="216" w:tblpY="18"/>
        <w:tblW w:w="0" w:type="auto"/>
        <w:tblLook w:val="04A0"/>
      </w:tblPr>
      <w:tblGrid>
        <w:gridCol w:w="9287"/>
        <w:gridCol w:w="284"/>
        <w:gridCol w:w="284"/>
      </w:tblGrid>
      <w:tr w:rsidR="00D078FF" w:rsidRPr="00983D22" w:rsidTr="000C4BE5">
        <w:tc>
          <w:tcPr>
            <w:tcW w:w="3888" w:type="dxa"/>
            <w:hideMark/>
          </w:tcPr>
          <w:p w:rsidR="00D078FF" w:rsidRDefault="00D078FF" w:rsidP="000C4BE5">
            <w:pPr>
              <w:rPr>
                <w:b/>
                <w:lang w:val="uk-UA"/>
              </w:rPr>
            </w:pPr>
            <w:r>
              <w:rPr>
                <w:noProof/>
                <w:szCs w:val="28"/>
                <w:lang w:val="uk-UA" w:eastAsia="uk-UA"/>
              </w:rPr>
              <w:drawing>
                <wp:inline distT="0" distB="0" distL="0" distR="0">
                  <wp:extent cx="5934075" cy="619125"/>
                  <wp:effectExtent l="19050" t="0" r="9525" b="0"/>
                  <wp:docPr id="3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1912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8FF" w:rsidRDefault="00D078FF" w:rsidP="000C4BE5">
            <w:pPr>
              <w:ind w:left="5040" w:hanging="5040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</w:t>
            </w:r>
            <w:r>
              <w:rPr>
                <w:szCs w:val="28"/>
              </w:rPr>
              <w:t xml:space="preserve">     </w:t>
            </w:r>
            <w:r>
              <w:rPr>
                <w:szCs w:val="28"/>
                <w:lang w:val="uk-UA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  <w:lang w:val="uk-UA"/>
              </w:rPr>
              <w:t>УКРАЇНА</w:t>
            </w:r>
          </w:p>
          <w:p w:rsidR="00D078FF" w:rsidRDefault="00D078FF" w:rsidP="000C4BE5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>БІЛИЦЬКА СЕЛИЩНА РАДА</w:t>
            </w:r>
          </w:p>
          <w:p w:rsidR="00D078FF" w:rsidRDefault="00D078FF" w:rsidP="000C4BE5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КОБЕЛЯЦЬКОГО РАЙОНУ</w:t>
            </w:r>
          </w:p>
          <w:p w:rsidR="00D078FF" w:rsidRDefault="00D078FF" w:rsidP="000C4BE5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ПОЛТАВСЬКОЇ ОБЛАСТІ</w:t>
            </w:r>
          </w:p>
          <w:p w:rsidR="00D078FF" w:rsidRDefault="00D078FF" w:rsidP="000C4BE5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</w:p>
          <w:p w:rsidR="00D078FF" w:rsidRDefault="00D078FF" w:rsidP="000C4BE5">
            <w:pPr>
              <w:ind w:left="5040" w:hanging="5040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b/>
                <w:sz w:val="32"/>
                <w:szCs w:val="32"/>
                <w:lang w:val="uk-UA"/>
              </w:rPr>
              <w:t xml:space="preserve">     РОЗПОРЯДЖЕННЯ</w:t>
            </w:r>
          </w:p>
          <w:p w:rsidR="00D078FF" w:rsidRDefault="00D078FF" w:rsidP="000C4BE5">
            <w:pPr>
              <w:ind w:left="5040" w:hanging="504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ГОЛОВИ БІЛИЦЬКОЇ СЕЛИЩНОЇ РАДИ</w:t>
            </w:r>
          </w:p>
          <w:p w:rsidR="00D078FF" w:rsidRDefault="00D078FF" w:rsidP="000C4BE5">
            <w:pPr>
              <w:ind w:left="5040" w:hanging="5040"/>
              <w:rPr>
                <w:lang w:val="uk-UA"/>
              </w:rPr>
            </w:pPr>
          </w:p>
          <w:p w:rsidR="00D078FF" w:rsidRDefault="00D078FF" w:rsidP="000C4BE5">
            <w:pPr>
              <w:rPr>
                <w:lang w:val="uk-UA"/>
              </w:rPr>
            </w:pPr>
          </w:p>
          <w:p w:rsidR="00D078FF" w:rsidRDefault="00D078FF" w:rsidP="000C4BE5">
            <w:pPr>
              <w:rPr>
                <w:lang w:val="uk-UA"/>
              </w:rPr>
            </w:pPr>
            <w:r>
              <w:rPr>
                <w:lang w:val="uk-UA"/>
              </w:rPr>
              <w:t>01.12.2014 року                                                                                      №02-06/49</w:t>
            </w:r>
          </w:p>
          <w:p w:rsidR="00D078FF" w:rsidRPr="00983D22" w:rsidRDefault="00D078FF" w:rsidP="000C4BE5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2439" w:type="dxa"/>
            <w:hideMark/>
          </w:tcPr>
          <w:p w:rsidR="00D078FF" w:rsidRPr="00983D22" w:rsidRDefault="00D078FF" w:rsidP="000C4BE5">
            <w:pPr>
              <w:spacing w:before="100" w:beforeAutospacing="1" w:after="100" w:afterAutospacing="1"/>
            </w:pPr>
            <w:r w:rsidRPr="00983D22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06" w:type="dxa"/>
            <w:hideMark/>
          </w:tcPr>
          <w:p w:rsidR="00D078FF" w:rsidRPr="00983D22" w:rsidRDefault="00D078FF" w:rsidP="000C4BE5">
            <w:pPr>
              <w:spacing w:before="100" w:beforeAutospacing="1" w:after="100" w:afterAutospacing="1"/>
            </w:pPr>
            <w:r w:rsidRPr="00983D22">
              <w:rPr>
                <w:sz w:val="28"/>
                <w:szCs w:val="28"/>
                <w:lang w:val="uk-UA"/>
              </w:rPr>
              <w:t> </w:t>
            </w:r>
          </w:p>
        </w:tc>
      </w:tr>
      <w:tr w:rsidR="00D078FF" w:rsidRPr="00C36977" w:rsidTr="000C4BE5">
        <w:tc>
          <w:tcPr>
            <w:tcW w:w="3888" w:type="dxa"/>
            <w:hideMark/>
          </w:tcPr>
          <w:p w:rsidR="00D078FF" w:rsidRDefault="00D078FF" w:rsidP="000C4BE5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983D22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покладання </w:t>
            </w:r>
            <w:proofErr w:type="spellStart"/>
            <w:r>
              <w:rPr>
                <w:lang w:val="uk-UA"/>
              </w:rPr>
              <w:t>обов»язків</w:t>
            </w:r>
            <w:proofErr w:type="spellEnd"/>
            <w:r w:rsidRPr="00983D22">
              <w:rPr>
                <w:lang w:val="uk-UA"/>
              </w:rPr>
              <w:t xml:space="preserve"> </w:t>
            </w:r>
          </w:p>
          <w:p w:rsidR="00D078FF" w:rsidRDefault="00D078FF" w:rsidP="000C4BE5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 державній реєстрації актів</w:t>
            </w:r>
            <w:r w:rsidRPr="00983D22">
              <w:rPr>
                <w:lang w:val="uk-UA"/>
              </w:rPr>
              <w:t xml:space="preserve"> </w:t>
            </w:r>
          </w:p>
          <w:p w:rsidR="00D078FF" w:rsidRDefault="00D078FF" w:rsidP="000C4BE5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цивільного стану та відповідальності</w:t>
            </w:r>
          </w:p>
          <w:p w:rsidR="00D078FF" w:rsidRDefault="00D078FF" w:rsidP="000C4BE5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 облік, зберігання та витрачання</w:t>
            </w:r>
          </w:p>
          <w:p w:rsidR="00D078FF" w:rsidRDefault="00D078FF" w:rsidP="000C4BE5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бланків свідоцтв про державну</w:t>
            </w:r>
          </w:p>
          <w:p w:rsidR="00D078FF" w:rsidRDefault="00D078FF" w:rsidP="000C4BE5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реєстрацію актів цивільного стану.</w:t>
            </w:r>
          </w:p>
          <w:p w:rsidR="00D078FF" w:rsidRDefault="00D078FF" w:rsidP="000C4BE5">
            <w:pPr>
              <w:tabs>
                <w:tab w:val="left" w:pos="900"/>
              </w:tabs>
              <w:jc w:val="both"/>
              <w:rPr>
                <w:lang w:val="uk-UA"/>
              </w:rPr>
            </w:pPr>
          </w:p>
          <w:p w:rsidR="00D078FF" w:rsidRDefault="00D078FF" w:rsidP="000C4BE5">
            <w:pPr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     Відповідно до ч.2 ст.6 Закону України Про державну реєстрацію актів цивільного стану та пунктів 3.2, 3.3 розділу ІІІ  Порядку</w:t>
            </w:r>
            <w:r w:rsidRPr="00C36977">
              <w:rPr>
                <w:b/>
                <w:sz w:val="32"/>
                <w:lang w:val="uk-UA"/>
              </w:rPr>
              <w:t xml:space="preserve">  </w:t>
            </w:r>
            <w:r w:rsidRPr="00C36977">
              <w:rPr>
                <w:lang w:val="uk-UA"/>
              </w:rPr>
              <w:t>ведення обліку і звітності про використання бланків свідоцтв про державну реєстрацію актів цивільного стану, а також їх зберігання</w:t>
            </w:r>
            <w:r>
              <w:rPr>
                <w:lang w:val="uk-UA"/>
              </w:rPr>
              <w:t xml:space="preserve">, затверджених наказом Міністерства юстиції України від </w:t>
            </w:r>
            <w:r w:rsidRPr="00E60D7E">
              <w:rPr>
                <w:bCs/>
                <w:color w:val="000000"/>
                <w:lang w:val="uk-UA"/>
              </w:rPr>
              <w:t>29.10.2012</w:t>
            </w:r>
            <w:r>
              <w:rPr>
                <w:bCs/>
                <w:color w:val="000000"/>
                <w:lang w:val="uk-UA"/>
              </w:rPr>
              <w:t>року</w:t>
            </w:r>
            <w:r w:rsidRPr="00E60D7E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за №</w:t>
            </w:r>
            <w:r w:rsidRPr="00E60D7E">
              <w:rPr>
                <w:bCs/>
                <w:color w:val="000000"/>
                <w:lang w:val="uk-UA"/>
              </w:rPr>
              <w:t>1578/5</w:t>
            </w:r>
            <w:r>
              <w:rPr>
                <w:bCs/>
                <w:color w:val="000000"/>
                <w:lang w:val="uk-UA"/>
              </w:rPr>
              <w:t xml:space="preserve">, зареєстрованих в Міністерстві юстиції України </w:t>
            </w:r>
            <w:r w:rsidRPr="00E60D7E">
              <w:rPr>
                <w:bCs/>
                <w:color w:val="000000"/>
                <w:lang w:val="uk-UA"/>
              </w:rPr>
              <w:t>2 листопада 2012 р</w:t>
            </w:r>
            <w:r>
              <w:rPr>
                <w:bCs/>
                <w:color w:val="000000"/>
                <w:lang w:val="uk-UA"/>
              </w:rPr>
              <w:t>оку</w:t>
            </w:r>
            <w:r>
              <w:rPr>
                <w:lang w:val="uk-UA"/>
              </w:rPr>
              <w:t xml:space="preserve"> за </w:t>
            </w:r>
            <w:r>
              <w:rPr>
                <w:bCs/>
                <w:color w:val="000000"/>
                <w:lang w:val="uk-UA"/>
              </w:rPr>
              <w:t>№</w:t>
            </w:r>
            <w:r w:rsidRPr="00E60D7E">
              <w:rPr>
                <w:bCs/>
                <w:color w:val="000000"/>
                <w:lang w:val="uk-UA"/>
              </w:rPr>
              <w:t>1845/22157</w:t>
            </w:r>
            <w:r>
              <w:rPr>
                <w:bCs/>
                <w:color w:val="000000"/>
                <w:lang w:val="uk-UA"/>
              </w:rPr>
              <w:t>:</w:t>
            </w:r>
          </w:p>
          <w:p w:rsidR="00D078FF" w:rsidRDefault="00D078FF" w:rsidP="000C4BE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    1.Покласти </w:t>
            </w:r>
            <w:proofErr w:type="spellStart"/>
            <w:r>
              <w:rPr>
                <w:bCs/>
                <w:color w:val="000000"/>
                <w:lang w:val="uk-UA"/>
              </w:rPr>
              <w:t>обов»язки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по державній реєстрації актів цивільного стану та відповідальність за облік, зберігання та витрачання бланків свідоцтв про державну реєстрацію актів цивільного стану на секретаря виконавчого комітету Білицької селищної ради – </w:t>
            </w:r>
            <w:proofErr w:type="spellStart"/>
            <w:r>
              <w:rPr>
                <w:bCs/>
                <w:color w:val="000000"/>
                <w:lang w:val="uk-UA"/>
              </w:rPr>
              <w:t>Левонтівцеву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Наталія Іванівну.</w:t>
            </w:r>
          </w:p>
          <w:p w:rsidR="00D078FF" w:rsidRDefault="00D078FF" w:rsidP="000C4BE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    2.На час тимчасової відсутності секретаря виконавчого комітету Білицької селищної ради </w:t>
            </w:r>
            <w:proofErr w:type="spellStart"/>
            <w:r>
              <w:rPr>
                <w:bCs/>
                <w:color w:val="000000"/>
                <w:lang w:val="uk-UA"/>
              </w:rPr>
              <w:t>Левонтівцевої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Наталії Іванівни (відпустка, відрядження, хвороба, тощо) </w:t>
            </w:r>
            <w:proofErr w:type="spellStart"/>
            <w:r>
              <w:rPr>
                <w:bCs/>
                <w:color w:val="000000"/>
                <w:lang w:val="uk-UA"/>
              </w:rPr>
              <w:t>обов»язки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по державній реєстрації актів цивільного стану та відповідальність за облік, зберігання та витрачання бланків свідоцтв про державну реєстрацію актів цивільного стану покладаються на селищного голову – Чорну Ірину Володимирівну.</w:t>
            </w:r>
          </w:p>
          <w:p w:rsidR="00D078FF" w:rsidRDefault="00D078FF" w:rsidP="000C4BE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    3.Розпорядження виконкому Білицької селищної ради від 02.09.2013року за </w:t>
            </w:r>
          </w:p>
          <w:p w:rsidR="00D078FF" w:rsidRDefault="00D078FF" w:rsidP="000C4BE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№02-06/42 «Про покладання </w:t>
            </w:r>
            <w:proofErr w:type="spellStart"/>
            <w:r>
              <w:rPr>
                <w:bCs/>
                <w:color w:val="000000"/>
                <w:lang w:val="uk-UA"/>
              </w:rPr>
              <w:t>обов»язків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по державній реєстрації актів цивільного стану та відповідальність за облік, зберігання та витрачання бланків свідоцтв про державну реєстрацію актів цивільного стану» вважати таким, що втратило чинність.</w:t>
            </w:r>
          </w:p>
          <w:p w:rsidR="00D078FF" w:rsidRDefault="00D078FF" w:rsidP="000C4BE5">
            <w:pPr>
              <w:rPr>
                <w:bCs/>
                <w:color w:val="000000"/>
                <w:lang w:val="uk-UA"/>
              </w:rPr>
            </w:pPr>
          </w:p>
          <w:p w:rsidR="00D078FF" w:rsidRDefault="00D078FF" w:rsidP="000C4BE5">
            <w:pPr>
              <w:rPr>
                <w:bCs/>
                <w:color w:val="000000"/>
                <w:lang w:val="uk-UA"/>
              </w:rPr>
            </w:pPr>
          </w:p>
          <w:p w:rsidR="00D078FF" w:rsidRPr="00E60D7E" w:rsidRDefault="00D078FF" w:rsidP="000C4BE5">
            <w:pPr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    Селищний голова                                                                             І.В.Чорна</w:t>
            </w:r>
          </w:p>
          <w:p w:rsidR="00D078FF" w:rsidRPr="00C36977" w:rsidRDefault="00D078FF" w:rsidP="000C4BE5">
            <w:pPr>
              <w:tabs>
                <w:tab w:val="left" w:pos="900"/>
              </w:tabs>
              <w:jc w:val="both"/>
              <w:rPr>
                <w:lang w:val="uk-UA"/>
              </w:rPr>
            </w:pPr>
          </w:p>
        </w:tc>
        <w:tc>
          <w:tcPr>
            <w:tcW w:w="2439" w:type="dxa"/>
            <w:hideMark/>
          </w:tcPr>
          <w:p w:rsidR="00D078FF" w:rsidRPr="00C36977" w:rsidRDefault="00D078FF" w:rsidP="000C4BE5">
            <w:pPr>
              <w:spacing w:before="100" w:beforeAutospacing="1" w:after="100" w:afterAutospacing="1"/>
              <w:rPr>
                <w:lang w:val="uk-UA"/>
              </w:rPr>
            </w:pPr>
            <w:r w:rsidRPr="00983D22">
              <w:rPr>
                <w:lang w:val="uk-UA"/>
              </w:rPr>
              <w:t> </w:t>
            </w:r>
          </w:p>
        </w:tc>
        <w:tc>
          <w:tcPr>
            <w:tcW w:w="3206" w:type="dxa"/>
            <w:hideMark/>
          </w:tcPr>
          <w:p w:rsidR="00D078FF" w:rsidRPr="00C36977" w:rsidRDefault="00D078FF" w:rsidP="000C4BE5">
            <w:pPr>
              <w:spacing w:before="100" w:beforeAutospacing="1" w:after="100" w:afterAutospacing="1"/>
              <w:rPr>
                <w:lang w:val="uk-UA"/>
              </w:rPr>
            </w:pPr>
            <w:r w:rsidRPr="00983D22">
              <w:rPr>
                <w:lang w:val="uk-UA"/>
              </w:rPr>
              <w:t> </w:t>
            </w:r>
          </w:p>
        </w:tc>
      </w:tr>
    </w:tbl>
    <w:p w:rsidR="00D078FF" w:rsidRDefault="00D078FF" w:rsidP="00D078FF">
      <w:pPr>
        <w:rPr>
          <w:lang w:val="uk-UA"/>
        </w:rPr>
      </w:pPr>
    </w:p>
    <w:p w:rsidR="00D078FF" w:rsidRDefault="00D078FF" w:rsidP="00D078FF">
      <w:pPr>
        <w:rPr>
          <w:lang w:val="uk-UA"/>
        </w:rPr>
      </w:pPr>
    </w:p>
    <w:p w:rsidR="002103EA" w:rsidRDefault="002103EA"/>
    <w:sectPr w:rsidR="002103EA" w:rsidSect="0021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58A0"/>
    <w:rsid w:val="00057FE8"/>
    <w:rsid w:val="00096C58"/>
    <w:rsid w:val="000A6300"/>
    <w:rsid w:val="001958A0"/>
    <w:rsid w:val="001C27A0"/>
    <w:rsid w:val="001C72E6"/>
    <w:rsid w:val="002030CD"/>
    <w:rsid w:val="00206B93"/>
    <w:rsid w:val="002103EA"/>
    <w:rsid w:val="002353B0"/>
    <w:rsid w:val="00270D83"/>
    <w:rsid w:val="003B00A4"/>
    <w:rsid w:val="003D04AB"/>
    <w:rsid w:val="003E7AE7"/>
    <w:rsid w:val="00472ED1"/>
    <w:rsid w:val="00591EA8"/>
    <w:rsid w:val="005B4E80"/>
    <w:rsid w:val="0065032C"/>
    <w:rsid w:val="0067179C"/>
    <w:rsid w:val="007419C6"/>
    <w:rsid w:val="007D0042"/>
    <w:rsid w:val="007E1117"/>
    <w:rsid w:val="007F07D3"/>
    <w:rsid w:val="008D7154"/>
    <w:rsid w:val="009125A3"/>
    <w:rsid w:val="00961901"/>
    <w:rsid w:val="009B703B"/>
    <w:rsid w:val="009F1CBB"/>
    <w:rsid w:val="00A63BA5"/>
    <w:rsid w:val="00A849D7"/>
    <w:rsid w:val="00AF1A30"/>
    <w:rsid w:val="00B02BE3"/>
    <w:rsid w:val="00B11A2D"/>
    <w:rsid w:val="00B972ED"/>
    <w:rsid w:val="00C128C7"/>
    <w:rsid w:val="00C33033"/>
    <w:rsid w:val="00C6591C"/>
    <w:rsid w:val="00C74FE7"/>
    <w:rsid w:val="00D078FF"/>
    <w:rsid w:val="00D310CF"/>
    <w:rsid w:val="00D46E85"/>
    <w:rsid w:val="00D71B36"/>
    <w:rsid w:val="00DB1E62"/>
    <w:rsid w:val="00DD473D"/>
    <w:rsid w:val="00E602CA"/>
    <w:rsid w:val="00EB725C"/>
    <w:rsid w:val="00EB7E76"/>
    <w:rsid w:val="00EC66D2"/>
    <w:rsid w:val="00F207F5"/>
    <w:rsid w:val="00F23F59"/>
    <w:rsid w:val="00F34C3D"/>
    <w:rsid w:val="00F36AA9"/>
    <w:rsid w:val="00F61AC1"/>
    <w:rsid w:val="00FC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F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2015-01-12T12:08:00Z</dcterms:created>
  <dcterms:modified xsi:type="dcterms:W3CDTF">2015-01-12T12:08:00Z</dcterms:modified>
</cp:coreProperties>
</file>